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противодействия международному терроризму</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Владислав Геннадьевич/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«Стратегии противодействия международному терроризму».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конвенцию о правах ребенка, международные нормы и договоры в области прав ребенка и образования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 в части анализа содержания современных подходов к организации системы общего образования</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72.27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2.78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основы безопасности жизнедеятельности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выявлять и устранять проблемы, связанные с нарушениями техники безопасности на рабочем месте</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безопасными и/или комфортными условиями труда на рабочем месте</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УК-8, УК-10</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974.0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3165.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Зарубежный опыт противодействия терроризму и экстремизму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терроризм как вызов безопасности мирового сообщества. Сущность и идеология современного международного терроризма.</w:t>
            </w:r>
          </w:p>
          <w:p>
            <w:pPr>
              <w:jc w:val="both"/>
              <w:spacing w:after="0" w:line="240" w:lineRule="auto"/>
              <w:rPr>
                <w:sz w:val="24"/>
                <w:szCs w:val="24"/>
              </w:rPr>
            </w:pPr>
            <w:r>
              <w:rPr>
                <w:rFonts w:ascii="Times New Roman" w:hAnsi="Times New Roman" w:cs="Times New Roman"/>
                <w:color w:val="#000000"/>
                <w:sz w:val="24"/>
                <w:szCs w:val="24"/>
              </w:rPr>
              <w:t> 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антитеррористической политики российского государства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pPr>
              <w:jc w:val="both"/>
              <w:spacing w:after="0" w:line="240" w:lineRule="auto"/>
              <w:rPr>
                <w:sz w:val="24"/>
                <w:szCs w:val="24"/>
              </w:rPr>
            </w:pPr>
            <w:r>
              <w:rPr>
                <w:rFonts w:ascii="Times New Roman" w:hAnsi="Times New Roman" w:cs="Times New Roman"/>
                <w:color w:val="#000000"/>
                <w:sz w:val="24"/>
                <w:szCs w:val="24"/>
              </w:rPr>
              <w:t> Органы государства, осуществляющие противодействие терроризму, их компетенции, задачи и функции. Национальный антитеррористический комитет.</w:t>
            </w:r>
          </w:p>
          <w:p>
            <w:pPr>
              <w:jc w:val="both"/>
              <w:spacing w:after="0" w:line="240" w:lineRule="auto"/>
              <w:rPr>
                <w:sz w:val="24"/>
                <w:szCs w:val="24"/>
              </w:rPr>
            </w:pPr>
            <w:r>
              <w:rPr>
                <w:rFonts w:ascii="Times New Roman" w:hAnsi="Times New Roman" w:cs="Times New Roman"/>
                <w:color w:val="#000000"/>
                <w:sz w:val="24"/>
                <w:szCs w:val="24"/>
              </w:rPr>
              <w:t> 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pPr>
              <w:jc w:val="both"/>
              <w:spacing w:after="0" w:line="240" w:lineRule="auto"/>
              <w:rPr>
                <w:sz w:val="24"/>
                <w:szCs w:val="24"/>
              </w:rPr>
            </w:pPr>
            <w:r>
              <w:rPr>
                <w:rFonts w:ascii="Times New Roman" w:hAnsi="Times New Roman" w:cs="Times New Roman"/>
                <w:color w:val="#000000"/>
                <w:sz w:val="24"/>
                <w:szCs w:val="24"/>
              </w:rPr>
              <w:t> Роль гражданского общества, политических партий, общественных организаций и объединений в борьбе с терроризмом и экстремизмом.</w:t>
            </w:r>
          </w:p>
          <w:p>
            <w:pPr>
              <w:jc w:val="both"/>
              <w:spacing w:after="0" w:line="240" w:lineRule="auto"/>
              <w:rPr>
                <w:sz w:val="24"/>
                <w:szCs w:val="24"/>
              </w:rPr>
            </w:pPr>
            <w:r>
              <w:rPr>
                <w:rFonts w:ascii="Times New Roman" w:hAnsi="Times New Roman" w:cs="Times New Roman"/>
                <w:color w:val="#000000"/>
                <w:sz w:val="24"/>
                <w:szCs w:val="24"/>
              </w:rPr>
              <w:t> 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информационной среды в противодействии терроризму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pPr>
              <w:jc w:val="both"/>
              <w:spacing w:after="0" w:line="240" w:lineRule="auto"/>
              <w:rPr>
                <w:sz w:val="24"/>
                <w:szCs w:val="24"/>
              </w:rPr>
            </w:pPr>
            <w:r>
              <w:rPr>
                <w:rFonts w:ascii="Times New Roman" w:hAnsi="Times New Roman" w:cs="Times New Roman"/>
                <w:color w:val="#000000"/>
                <w:sz w:val="24"/>
                <w:szCs w:val="24"/>
              </w:rPr>
              <w:t>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pPr>
              <w:jc w:val="both"/>
              <w:spacing w:after="0" w:line="240" w:lineRule="auto"/>
              <w:rPr>
                <w:sz w:val="24"/>
                <w:szCs w:val="24"/>
              </w:rPr>
            </w:pPr>
            <w:r>
              <w:rPr>
                <w:rFonts w:ascii="Times New Roman" w:hAnsi="Times New Roman" w:cs="Times New Roman"/>
                <w:color w:val="#000000"/>
                <w:sz w:val="24"/>
                <w:szCs w:val="24"/>
              </w:rPr>
              <w:t> 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личности в условиях террористической угрозы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Терроризм как угроза мирному населению. Обеспечение безопасности граждан России с учетом террористических угроз глобального характера.</w:t>
            </w:r>
          </w:p>
          <w:p>
            <w:pPr>
              <w:jc w:val="both"/>
              <w:spacing w:after="0" w:line="240" w:lineRule="auto"/>
              <w:rPr>
                <w:sz w:val="24"/>
                <w:szCs w:val="24"/>
              </w:rPr>
            </w:pPr>
            <w:r>
              <w:rPr>
                <w:rFonts w:ascii="Times New Roman" w:hAnsi="Times New Roman" w:cs="Times New Roman"/>
                <w:color w:val="#000000"/>
                <w:sz w:val="24"/>
                <w:szCs w:val="24"/>
              </w:rPr>
              <w:t> 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trPr>
          <w:trHeight w:hRule="exact" w:val="585.061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Уголовная ответственность за совершение преступлений, связанных с террористической деятельностью</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trPr>
          <w:trHeight w:hRule="exact" w:val="855.54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trPr>
          <w:trHeight w:hRule="exact" w:val="2503.7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pPr>
              <w:jc w:val="both"/>
              <w:spacing w:after="0" w:line="240" w:lineRule="auto"/>
              <w:rPr>
                <w:sz w:val="24"/>
                <w:szCs w:val="24"/>
              </w:rPr>
            </w:pPr>
            <w:r>
              <w:rPr>
                <w:rFonts w:ascii="Times New Roman" w:hAnsi="Times New Roman" w:cs="Times New Roman"/>
                <w:color w:val="#000000"/>
                <w:sz w:val="24"/>
                <w:szCs w:val="24"/>
              </w:rPr>
              <w:t> 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последствия пристрастия к наркотикам. Профилактика наркомании, чистота и культура в быту.</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Зарубежный опыт противодействия терроризму и экстремизму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терроризм как вызов безопасности мирового сообщества. Сущность и идеология современного международного терроризма.</w:t>
            </w:r>
          </w:p>
          <w:p>
            <w:pPr>
              <w:jc w:val="both"/>
              <w:spacing w:after="0" w:line="240" w:lineRule="auto"/>
              <w:rPr>
                <w:sz w:val="24"/>
                <w:szCs w:val="24"/>
              </w:rPr>
            </w:pPr>
            <w:r>
              <w:rPr>
                <w:rFonts w:ascii="Times New Roman" w:hAnsi="Times New Roman" w:cs="Times New Roman"/>
                <w:color w:val="#000000"/>
                <w:sz w:val="24"/>
                <w:szCs w:val="24"/>
              </w:rPr>
              <w:t> 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антитеррористической политики российского государства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pPr>
              <w:jc w:val="both"/>
              <w:spacing w:after="0" w:line="240" w:lineRule="auto"/>
              <w:rPr>
                <w:sz w:val="24"/>
                <w:szCs w:val="24"/>
              </w:rPr>
            </w:pPr>
            <w:r>
              <w:rPr>
                <w:rFonts w:ascii="Times New Roman" w:hAnsi="Times New Roman" w:cs="Times New Roman"/>
                <w:color w:val="#000000"/>
                <w:sz w:val="24"/>
                <w:szCs w:val="24"/>
              </w:rPr>
              <w:t> Органы государства, осуществляющие противодействие терроризму, их компетенции, задачи и функции. Национальный антитеррористический комитет.</w:t>
            </w:r>
          </w:p>
          <w:p>
            <w:pPr>
              <w:jc w:val="both"/>
              <w:spacing w:after="0" w:line="240" w:lineRule="auto"/>
              <w:rPr>
                <w:sz w:val="24"/>
                <w:szCs w:val="24"/>
              </w:rPr>
            </w:pPr>
            <w:r>
              <w:rPr>
                <w:rFonts w:ascii="Times New Roman" w:hAnsi="Times New Roman" w:cs="Times New Roman"/>
                <w:color w:val="#000000"/>
                <w:sz w:val="24"/>
                <w:szCs w:val="24"/>
              </w:rPr>
              <w:t> 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pPr>
              <w:jc w:val="both"/>
              <w:spacing w:after="0" w:line="240" w:lineRule="auto"/>
              <w:rPr>
                <w:sz w:val="24"/>
                <w:szCs w:val="24"/>
              </w:rPr>
            </w:pPr>
            <w:r>
              <w:rPr>
                <w:rFonts w:ascii="Times New Roman" w:hAnsi="Times New Roman" w:cs="Times New Roman"/>
                <w:color w:val="#000000"/>
                <w:sz w:val="24"/>
                <w:szCs w:val="24"/>
              </w:rPr>
              <w:t> Роль гражданского общества, политических партий, общественных организаций и объединений в борьбе с терроризмом и экстремизмом.</w:t>
            </w:r>
          </w:p>
          <w:p>
            <w:pPr>
              <w:jc w:val="both"/>
              <w:spacing w:after="0" w:line="240" w:lineRule="auto"/>
              <w:rPr>
                <w:sz w:val="24"/>
                <w:szCs w:val="24"/>
              </w:rPr>
            </w:pPr>
            <w:r>
              <w:rPr>
                <w:rFonts w:ascii="Times New Roman" w:hAnsi="Times New Roman" w:cs="Times New Roman"/>
                <w:color w:val="#000000"/>
                <w:sz w:val="24"/>
                <w:szCs w:val="24"/>
              </w:rPr>
              <w:t> 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информационной среды в противодействии терроризму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pPr>
              <w:jc w:val="both"/>
              <w:spacing w:after="0" w:line="240" w:lineRule="auto"/>
              <w:rPr>
                <w:sz w:val="24"/>
                <w:szCs w:val="24"/>
              </w:rPr>
            </w:pPr>
            <w:r>
              <w:rPr>
                <w:rFonts w:ascii="Times New Roman" w:hAnsi="Times New Roman" w:cs="Times New Roman"/>
                <w:color w:val="#000000"/>
                <w:sz w:val="24"/>
                <w:szCs w:val="24"/>
              </w:rPr>
              <w:t>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pPr>
              <w:jc w:val="both"/>
              <w:spacing w:after="0" w:line="240" w:lineRule="auto"/>
              <w:rPr>
                <w:sz w:val="24"/>
                <w:szCs w:val="24"/>
              </w:rPr>
            </w:pPr>
            <w:r>
              <w:rPr>
                <w:rFonts w:ascii="Times New Roman" w:hAnsi="Times New Roman" w:cs="Times New Roman"/>
                <w:color w:val="#000000"/>
                <w:sz w:val="24"/>
                <w:szCs w:val="24"/>
              </w:rPr>
              <w:t> 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личности в условиях террористической угрозы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Терроризм как угроза мирному населению. Обеспечение безопасности граждан России с учетом террористических угроз глобального характера.</w:t>
            </w:r>
          </w:p>
          <w:p>
            <w:pPr>
              <w:jc w:val="both"/>
              <w:spacing w:after="0" w:line="240" w:lineRule="auto"/>
              <w:rPr>
                <w:sz w:val="24"/>
                <w:szCs w:val="24"/>
              </w:rPr>
            </w:pPr>
            <w:r>
              <w:rPr>
                <w:rFonts w:ascii="Times New Roman" w:hAnsi="Times New Roman" w:cs="Times New Roman"/>
                <w:color w:val="#000000"/>
                <w:sz w:val="24"/>
                <w:szCs w:val="24"/>
              </w:rPr>
              <w:t> 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Уголовная ответственность за совершение преступлений, связанных с террористической деятельностью</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14.6995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pPr>
              <w:jc w:val="both"/>
              <w:spacing w:after="0" w:line="240" w:lineRule="auto"/>
              <w:rPr>
                <w:sz w:val="24"/>
                <w:szCs w:val="24"/>
              </w:rPr>
            </w:pPr>
            <w:r>
              <w:rPr>
                <w:rFonts w:ascii="Times New Roman" w:hAnsi="Times New Roman" w:cs="Times New Roman"/>
                <w:color w:val="#000000"/>
                <w:sz w:val="24"/>
                <w:szCs w:val="24"/>
              </w:rPr>
              <w:t> 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pPr>
              <w:jc w:val="both"/>
              <w:spacing w:after="0" w:line="240" w:lineRule="auto"/>
              <w:rPr>
                <w:sz w:val="24"/>
                <w:szCs w:val="24"/>
              </w:rPr>
            </w:pPr>
            <w:r>
              <w:rPr>
                <w:rFonts w:ascii="Times New Roman" w:hAnsi="Times New Roman" w:cs="Times New Roman"/>
                <w:color w:val="#000000"/>
                <w:sz w:val="24"/>
                <w:szCs w:val="24"/>
              </w:rPr>
              <w:t> Социальные последствия пристрастия к наркотикам. Профилактика наркомании, чистота и культура в быту.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https://urait.ru/bcode/450480</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Горбаченко,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978-5-9935-0418-6.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http://www.iprbookshop.ru/97361.html</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https://urait.ru/bcode/433075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кибертерроризму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цифровую</w:t>
            </w:r>
            <w:r>
              <w:rPr/>
              <w:t xml:space="preserve"> </w:t>
            </w:r>
            <w:r>
              <w:rPr>
                <w:rFonts w:ascii="Times New Roman" w:hAnsi="Times New Roman" w:cs="Times New Roman"/>
                <w:color w:val="#000000"/>
                <w:sz w:val="24"/>
                <w:szCs w:val="24"/>
              </w:rPr>
              <w:t>эпоху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https://urait.ru/bcode/448300</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(ПО)(23)_plx_Стратегии противодействия международному терроризму</dc:title>
  <dc:creator>FastReport.NET</dc:creator>
</cp:coreProperties>
</file>